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方正楷体_GBK" w:hAnsi="方正楷体_GBK" w:eastAsia="方正楷体_GBK" w:cs="方正楷体_GBK"/>
          <w:sz w:val="30"/>
          <w:szCs w:val="30"/>
          <w:lang w:eastAsia="zh-CN"/>
        </w:rPr>
      </w:pPr>
      <w:r>
        <w:rPr>
          <w:rFonts w:hint="eastAsia" w:ascii="方正楷体_GBK" w:hAnsi="方正楷体_GBK" w:eastAsia="方正黑体_GBK" w:cs="方正楷体_GBK"/>
          <w:sz w:val="30"/>
          <w:szCs w:val="30"/>
          <w:lang w:eastAsia="zh-CN"/>
        </w:rPr>
        <w:t>附件</w:t>
      </w:r>
    </w:p>
    <w:p>
      <w:pPr>
        <w:jc w:val="center"/>
      </w:pPr>
      <w:bookmarkStart w:id="0" w:name="_GoBack"/>
      <w:r>
        <w:rPr>
          <w:rFonts w:hint="default" w:ascii="Times New Roman" w:hAnsi="Times New Roman" w:eastAsia="方正小标宋_GBK" w:cs="Times New Roman"/>
          <w:sz w:val="44"/>
          <w:szCs w:val="44"/>
        </w:rPr>
        <w:t>云南省科学技术厅20</w:t>
      </w:r>
      <w:r>
        <w:rPr>
          <w:rFonts w:hint="eastAsia" w:ascii="Times New Roman" w:hAnsi="Times New Roman" w:eastAsia="方正小标宋_GBK" w:cs="Times New Roman"/>
          <w:sz w:val="44"/>
          <w:szCs w:val="44"/>
          <w:lang w:val="en-US" w:eastAsia="zh-CN"/>
        </w:rPr>
        <w:t>21</w:t>
      </w:r>
      <w:r>
        <w:rPr>
          <w:rFonts w:hint="default" w:ascii="Times New Roman" w:hAnsi="Times New Roman" w:eastAsia="方正小标宋_GBK" w:cs="Times New Roman"/>
          <w:sz w:val="44"/>
          <w:szCs w:val="44"/>
        </w:rPr>
        <w:t>年</w:t>
      </w:r>
      <w:r>
        <w:rPr>
          <w:rFonts w:hint="eastAsia" w:ascii="Times New Roman" w:hAnsi="Times New Roman" w:eastAsia="方正小标宋_GBK" w:cs="Times New Roman"/>
          <w:sz w:val="44"/>
          <w:szCs w:val="44"/>
          <w:lang w:eastAsia="zh-CN"/>
        </w:rPr>
        <w:t>度“</w:t>
      </w:r>
      <w:r>
        <w:rPr>
          <w:rFonts w:hint="default" w:ascii="Times New Roman" w:hAnsi="Times New Roman" w:eastAsia="方正小标宋_GBK" w:cs="Times New Roman"/>
          <w:sz w:val="44"/>
          <w:szCs w:val="44"/>
        </w:rPr>
        <w:t>双随机</w:t>
      </w:r>
      <w:r>
        <w:rPr>
          <w:rFonts w:hint="eastAsia" w:ascii="Times New Roman" w:hAnsi="Times New Roman" w:eastAsia="方正小标宋_GBK" w:cs="Times New Roman"/>
          <w:sz w:val="44"/>
          <w:szCs w:val="44"/>
          <w:lang w:eastAsia="zh-CN"/>
        </w:rPr>
        <w:t>、一公开”</w:t>
      </w:r>
      <w:r>
        <w:rPr>
          <w:rFonts w:hint="default" w:ascii="Times New Roman" w:hAnsi="Times New Roman" w:eastAsia="方正小标宋_GBK" w:cs="Times New Roman"/>
          <w:sz w:val="44"/>
          <w:szCs w:val="44"/>
        </w:rPr>
        <w:t>抽查结果公开表</w:t>
      </w:r>
    </w:p>
    <w:bookmarkEnd w:id="0"/>
    <w:tbl>
      <w:tblPr>
        <w:tblStyle w:val="13"/>
        <w:tblW w:w="14683" w:type="dxa"/>
        <w:tblInd w:w="-2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16"/>
        <w:gridCol w:w="1322"/>
        <w:gridCol w:w="2895"/>
        <w:gridCol w:w="1470"/>
        <w:gridCol w:w="82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87" w:hRule="atLeast"/>
        </w:trPr>
        <w:tc>
          <w:tcPr>
            <w:tcW w:w="716" w:type="dxa"/>
            <w:vAlign w:val="center"/>
          </w:tcPr>
          <w:p>
            <w:pPr>
              <w:ind w:firstLine="0" w:firstLineChars="0"/>
              <w:jc w:val="center"/>
              <w:rPr>
                <w:rFonts w:hint="eastAsia" w:ascii="Times New Roman" w:hAnsi="Times New Roman" w:eastAsia="方正黑体_GBK" w:cs="方正黑体_GBK"/>
                <w:color w:val="auto"/>
                <w:sz w:val="24"/>
                <w:szCs w:val="24"/>
              </w:rPr>
            </w:pPr>
            <w:r>
              <w:rPr>
                <w:rFonts w:hint="eastAsia" w:ascii="Times New Roman" w:hAnsi="Times New Roman" w:eastAsia="方正黑体_GBK" w:cs="方正黑体_GBK"/>
                <w:color w:val="auto"/>
                <w:sz w:val="24"/>
                <w:szCs w:val="24"/>
              </w:rPr>
              <w:t>序号</w:t>
            </w:r>
          </w:p>
        </w:tc>
        <w:tc>
          <w:tcPr>
            <w:tcW w:w="1322" w:type="dxa"/>
            <w:vAlign w:val="center"/>
          </w:tcPr>
          <w:p>
            <w:pPr>
              <w:jc w:val="center"/>
              <w:rPr>
                <w:rFonts w:hint="eastAsia" w:ascii="Times New Roman" w:hAnsi="Times New Roman" w:eastAsia="方正黑体_GBK" w:cs="方正黑体_GBK"/>
                <w:color w:val="auto"/>
                <w:sz w:val="24"/>
                <w:szCs w:val="24"/>
              </w:rPr>
            </w:pPr>
            <w:r>
              <w:rPr>
                <w:rFonts w:hint="eastAsia" w:ascii="Times New Roman" w:hAnsi="Times New Roman" w:eastAsia="方正黑体_GBK" w:cs="方正黑体_GBK"/>
                <w:color w:val="auto"/>
                <w:sz w:val="24"/>
                <w:szCs w:val="24"/>
              </w:rPr>
              <w:t>抽查对象</w:t>
            </w:r>
          </w:p>
        </w:tc>
        <w:tc>
          <w:tcPr>
            <w:tcW w:w="2895" w:type="dxa"/>
            <w:vAlign w:val="center"/>
          </w:tcPr>
          <w:p>
            <w:pPr>
              <w:ind w:firstLine="0" w:firstLineChars="0"/>
              <w:jc w:val="center"/>
              <w:rPr>
                <w:rFonts w:hint="eastAsia" w:ascii="Times New Roman" w:hAnsi="Times New Roman" w:eastAsia="方正黑体_GBK" w:cs="方正黑体_GBK"/>
                <w:color w:val="auto"/>
                <w:sz w:val="24"/>
                <w:szCs w:val="24"/>
              </w:rPr>
            </w:pPr>
            <w:r>
              <w:rPr>
                <w:rFonts w:hint="eastAsia" w:ascii="Times New Roman" w:hAnsi="Times New Roman" w:eastAsia="方正黑体_GBK" w:cs="方正黑体_GBK"/>
                <w:color w:val="auto"/>
                <w:sz w:val="24"/>
                <w:szCs w:val="24"/>
                <w:lang w:eastAsia="zh-CN"/>
              </w:rPr>
              <w:t>统一</w:t>
            </w:r>
            <w:r>
              <w:rPr>
                <w:rFonts w:hint="eastAsia" w:ascii="Times New Roman" w:hAnsi="Times New Roman" w:eastAsia="方正黑体_GBK" w:cs="方正黑体_GBK"/>
                <w:color w:val="auto"/>
                <w:sz w:val="24"/>
                <w:szCs w:val="24"/>
              </w:rPr>
              <w:t>社会信用代码</w:t>
            </w:r>
          </w:p>
        </w:tc>
        <w:tc>
          <w:tcPr>
            <w:tcW w:w="1470" w:type="dxa"/>
            <w:vAlign w:val="center"/>
          </w:tcPr>
          <w:p>
            <w:pPr>
              <w:ind w:firstLine="0" w:firstLineChars="0"/>
              <w:jc w:val="center"/>
              <w:rPr>
                <w:rFonts w:hint="eastAsia" w:ascii="Times New Roman" w:hAnsi="Times New Roman" w:eastAsia="方正黑体_GBK" w:cs="方正黑体_GBK"/>
                <w:color w:val="auto"/>
                <w:sz w:val="24"/>
                <w:szCs w:val="24"/>
              </w:rPr>
            </w:pPr>
            <w:r>
              <w:rPr>
                <w:rFonts w:hint="eastAsia" w:ascii="Times New Roman" w:hAnsi="Times New Roman" w:eastAsia="方正黑体_GBK" w:cs="方正黑体_GBK"/>
                <w:color w:val="auto"/>
                <w:sz w:val="24"/>
                <w:szCs w:val="24"/>
              </w:rPr>
              <w:t>抽查时间</w:t>
            </w:r>
          </w:p>
        </w:tc>
        <w:tc>
          <w:tcPr>
            <w:tcW w:w="8280" w:type="dxa"/>
            <w:vAlign w:val="center"/>
          </w:tcPr>
          <w:p>
            <w:pPr>
              <w:jc w:val="center"/>
              <w:rPr>
                <w:rFonts w:hint="eastAsia" w:ascii="Times New Roman" w:hAnsi="Times New Roman" w:eastAsia="方正黑体_GBK" w:cs="方正黑体_GBK"/>
                <w:color w:val="auto"/>
                <w:sz w:val="24"/>
                <w:szCs w:val="24"/>
              </w:rPr>
            </w:pPr>
            <w:r>
              <w:rPr>
                <w:rFonts w:hint="eastAsia" w:ascii="Times New Roman" w:hAnsi="Times New Roman" w:eastAsia="方正黑体_GBK" w:cs="方正黑体_GBK"/>
                <w:color w:val="auto"/>
                <w:sz w:val="24"/>
                <w:szCs w:val="24"/>
              </w:rPr>
              <w:t>抽查结果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94" w:hRule="atLeast"/>
        </w:trPr>
        <w:tc>
          <w:tcPr>
            <w:tcW w:w="716" w:type="dxa"/>
            <w:vAlign w:val="center"/>
          </w:tcPr>
          <w:p>
            <w:pPr>
              <w:ind w:firstLine="210" w:firstLineChars="100"/>
              <w:jc w:val="both"/>
              <w:rPr>
                <w:rFonts w:ascii="Times New Roman" w:hAnsi="Times New Roman" w:cs="Times New Roman"/>
                <w:color w:val="auto"/>
                <w:sz w:val="21"/>
                <w:szCs w:val="21"/>
              </w:rPr>
            </w:pPr>
            <w:r>
              <w:rPr>
                <w:rFonts w:hint="default" w:ascii="Times New Roman" w:hAnsi="Times New Roman" w:cs="Times New Roman"/>
                <w:color w:val="auto"/>
                <w:sz w:val="21"/>
                <w:szCs w:val="21"/>
              </w:rPr>
              <w:t>1</w:t>
            </w:r>
          </w:p>
        </w:tc>
        <w:tc>
          <w:tcPr>
            <w:tcW w:w="1322" w:type="dxa"/>
            <w:vAlign w:val="center"/>
          </w:tcPr>
          <w:p>
            <w:pPr>
              <w:ind w:firstLine="0" w:firstLineChars="0"/>
              <w:jc w:val="left"/>
              <w:rPr>
                <w:rFonts w:ascii="Times New Roman" w:hAnsi="Times New Roman" w:eastAsia="方正仿宋_GBK" w:cs="Times New Roman"/>
                <w:color w:val="auto"/>
                <w:sz w:val="21"/>
                <w:szCs w:val="21"/>
              </w:rPr>
            </w:pPr>
            <w:r>
              <w:rPr>
                <w:rFonts w:hint="eastAsia" w:ascii="Times New Roman" w:hAnsi="Times New Roman" w:eastAsia="方正仿宋_GBK" w:cs="Times New Roman"/>
                <w:color w:val="auto"/>
                <w:sz w:val="21"/>
                <w:szCs w:val="21"/>
                <w:lang w:val="en-US" w:eastAsia="zh-CN"/>
              </w:rPr>
              <w:t>龙陵恒冠泰达农业发展有限公司</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91530523325276208M</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2021.04.29</w:t>
            </w:r>
          </w:p>
        </w:tc>
        <w:tc>
          <w:tcPr>
            <w:tcW w:w="8280" w:type="dxa"/>
            <w:vAlign w:val="center"/>
          </w:tcPr>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依据《云南省科技厅科技计划项目管理办法》、</w:t>
            </w:r>
            <w:r>
              <w:rPr>
                <w:rFonts w:hint="default" w:ascii="Times New Roman" w:hAnsi="Times New Roman" w:eastAsia="方正仿宋_GBK" w:cs="Times New Roman"/>
                <w:color w:val="auto"/>
                <w:sz w:val="21"/>
                <w:szCs w:val="21"/>
                <w:lang w:val="en-US" w:eastAsia="zh-CN"/>
              </w:rPr>
              <w:t>《云南省科技计划项目资金管理办法》</w:t>
            </w:r>
            <w:r>
              <w:rPr>
                <w:rFonts w:hint="eastAsia" w:ascii="Times New Roman" w:hAnsi="Times New Roman" w:eastAsia="方正仿宋_GBK" w:cs="Times New Roman"/>
                <w:color w:val="auto"/>
                <w:sz w:val="21"/>
                <w:szCs w:val="21"/>
                <w:lang w:val="en-US" w:eastAsia="zh-CN"/>
              </w:rPr>
              <w:t>等，对龙陵恒冠泰达农业发展有限公司组织实施的省科技计划项目“滇西冰糖橙良种繁育及标准化种植关键技术集成与示范”（编号：2018IB013，财政科技经费250万元，</w:t>
            </w:r>
            <w:r>
              <w:rPr>
                <w:rFonts w:hint="eastAsia" w:ascii="Times New Roman" w:hAnsi="Times New Roman" w:eastAsia="方正仿宋_GBK" w:cs="Times New Roman"/>
                <w:color w:val="auto"/>
                <w:sz w:val="21"/>
                <w:szCs w:val="21"/>
                <w:shd w:val="clear" w:color="auto" w:fill="auto"/>
                <w:lang w:val="en-US" w:eastAsia="zh-CN"/>
              </w:rPr>
              <w:t>项目执行期为2018年1月至2020年12月</w:t>
            </w:r>
            <w:r>
              <w:rPr>
                <w:rFonts w:hint="eastAsia" w:ascii="Times New Roman" w:hAnsi="Times New Roman" w:eastAsia="方正仿宋_GBK" w:cs="Times New Roman"/>
                <w:color w:val="auto"/>
                <w:sz w:val="21"/>
                <w:szCs w:val="21"/>
                <w:lang w:val="en-US" w:eastAsia="zh-CN"/>
              </w:rPr>
              <w:t>）实施检查。</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发现问题：1.财政科技经费未足额到位。本项目省级财政科技经费250万元已全额下达龙陵县财政局，但截至2021年4月30日，龙陵县财政局实际拨付项目单位省级财政科技经费164万元项目。2.本项目研发支出在“固定资产”、“生产性生物资产”和“长期待摊费用”3个科目中核算，财务核算不规范。3.间接费用中部分科目使用超额支出，间接费用中“管理费”项下“日常水、电、气、暖消耗”及“管理费用补助支出”预算分别为零和3.00万元，但支出则分别为1.08万元和3.81万元。4.项目部分主要考核技术指标低于合同考核要求。2019年1月4日，农业农村部农产品质量监督检验测试中心出具的检验结果报告显示“抽样商品果中可溶固形物为11.5%，可滴定酸0.66%”，项目考核技术指标要求分别为“商品果中可溶固形物平均达到12.5%至14%，酸度平均控制在0.35%至0.45%”。</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整改意见：1.项目推荐部门和业务主管处室督促龙陵县财政局尽快将滞留的86万元省级财政科技经费拨付项目单位。2.项目单位按省科技计划项目及经费管理相关规定规范财务核算。3.项目单位按项目合同要求落实商品果中可溶固形物、酸度等考核指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16" w:type="dxa"/>
            <w:vAlign w:val="center"/>
          </w:tcPr>
          <w:p>
            <w:pPr>
              <w:ind w:firstLine="210" w:firstLineChars="100"/>
              <w:jc w:val="both"/>
              <w:rPr>
                <w:rFonts w:ascii="Times New Roman" w:hAnsi="Times New Roman" w:cs="Times New Roman"/>
                <w:color w:val="auto"/>
                <w:sz w:val="21"/>
                <w:szCs w:val="21"/>
              </w:rPr>
            </w:pPr>
            <w:r>
              <w:rPr>
                <w:rFonts w:hint="default" w:ascii="Times New Roman" w:hAnsi="Times New Roman" w:cs="Times New Roman"/>
                <w:color w:val="auto"/>
                <w:sz w:val="21"/>
                <w:szCs w:val="21"/>
              </w:rPr>
              <w:t>2</w:t>
            </w:r>
          </w:p>
        </w:tc>
        <w:tc>
          <w:tcPr>
            <w:tcW w:w="1322" w:type="dxa"/>
            <w:vAlign w:val="center"/>
          </w:tcPr>
          <w:p>
            <w:pPr>
              <w:ind w:firstLine="0" w:firstLineChars="0"/>
              <w:jc w:val="left"/>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中国科学院昆明动物研究所</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12100000431204371N</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2021.04.26</w:t>
            </w:r>
          </w:p>
        </w:tc>
        <w:tc>
          <w:tcPr>
            <w:tcW w:w="8280" w:type="dxa"/>
            <w:vAlign w:val="center"/>
          </w:tcPr>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依据《云南省科技厅科技计划项目管理办法》、</w:t>
            </w:r>
            <w:r>
              <w:rPr>
                <w:rFonts w:hint="default" w:ascii="Times New Roman" w:hAnsi="Times New Roman" w:eastAsia="方正仿宋_GBK" w:cs="Times New Roman"/>
                <w:color w:val="auto"/>
                <w:sz w:val="21"/>
                <w:szCs w:val="21"/>
                <w:lang w:val="en-US" w:eastAsia="zh-CN"/>
              </w:rPr>
              <w:t>《云南省科技计划项目资金管理办法》</w:t>
            </w:r>
            <w:r>
              <w:rPr>
                <w:rFonts w:hint="eastAsia" w:ascii="Times New Roman" w:hAnsi="Times New Roman" w:eastAsia="方正仿宋_GBK" w:cs="Times New Roman"/>
                <w:color w:val="auto"/>
                <w:sz w:val="21"/>
                <w:szCs w:val="21"/>
                <w:lang w:val="en-US" w:eastAsia="zh-CN"/>
              </w:rPr>
              <w:t>等，对中国科学院昆明动物研究所</w:t>
            </w:r>
            <w:r>
              <w:rPr>
                <w:rFonts w:hint="default" w:ascii="Times New Roman" w:hAnsi="Times New Roman" w:eastAsia="方正仿宋_GBK" w:cs="Times New Roman"/>
                <w:color w:val="auto"/>
                <w:sz w:val="21"/>
                <w:szCs w:val="21"/>
                <w:lang w:val="en-US" w:eastAsia="zh-CN"/>
              </w:rPr>
              <w:t>组织实施的省科技计划</w:t>
            </w:r>
            <w:r>
              <w:rPr>
                <w:rFonts w:hint="eastAsia" w:ascii="Times New Roman" w:hAnsi="Times New Roman" w:eastAsia="方正仿宋_GBK" w:cs="Times New Roman"/>
                <w:color w:val="auto"/>
                <w:sz w:val="21"/>
                <w:szCs w:val="21"/>
                <w:lang w:val="en-US" w:eastAsia="zh-CN"/>
              </w:rPr>
              <w:t>“云南毒性药材分子资源库和新药研发”</w:t>
            </w:r>
            <w:r>
              <w:rPr>
                <w:rFonts w:hint="default" w:ascii="Times New Roman" w:hAnsi="Times New Roman" w:eastAsia="方正仿宋_GBK" w:cs="Times New Roman"/>
                <w:color w:val="auto"/>
                <w:sz w:val="21"/>
                <w:szCs w:val="21"/>
                <w:lang w:val="en-US" w:eastAsia="zh-CN"/>
              </w:rPr>
              <w:t>项目</w:t>
            </w:r>
            <w:r>
              <w:rPr>
                <w:rFonts w:hint="eastAsia" w:ascii="Times New Roman" w:hAnsi="Times New Roman" w:eastAsia="方正仿宋_GBK" w:cs="Times New Roman"/>
                <w:color w:val="auto"/>
                <w:sz w:val="21"/>
                <w:szCs w:val="21"/>
                <w:lang w:val="en-US" w:eastAsia="zh-CN"/>
              </w:rPr>
              <w:t>（编号：2019ZF003，财政科技经费800万元，项目执行期为2019年1月至2021年12月）实施</w:t>
            </w:r>
            <w:r>
              <w:rPr>
                <w:rFonts w:hint="default" w:ascii="Times New Roman" w:hAnsi="Times New Roman" w:eastAsia="方正仿宋_GBK" w:cs="Times New Roman"/>
                <w:color w:val="auto"/>
                <w:sz w:val="21"/>
                <w:szCs w:val="21"/>
                <w:lang w:val="en-US" w:eastAsia="zh-CN"/>
              </w:rPr>
              <w:t>检查。</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检查发现</w:t>
            </w:r>
            <w:r>
              <w:rPr>
                <w:rFonts w:hint="default" w:ascii="Times New Roman" w:hAnsi="Times New Roman" w:eastAsia="方正仿宋_GBK" w:cs="Times New Roman"/>
                <w:color w:val="auto"/>
                <w:sz w:val="21"/>
                <w:szCs w:val="21"/>
                <w:lang w:val="en-US" w:eastAsia="zh-CN"/>
              </w:rPr>
              <w:t>问题：</w:t>
            </w:r>
            <w:r>
              <w:rPr>
                <w:rFonts w:hint="eastAsia" w:ascii="Times New Roman" w:hAnsi="Times New Roman" w:eastAsia="方正仿宋_GBK" w:cs="Times New Roman"/>
                <w:color w:val="auto"/>
                <w:sz w:val="21"/>
                <w:szCs w:val="21"/>
                <w:lang w:val="en-US" w:eastAsia="zh-CN"/>
              </w:rPr>
              <w:t>1.项目经费预算执行进度滞后（截至2021年4月，预算执行进度仅为43.75%。2.不能如期“完成1</w:t>
            </w:r>
            <w:r>
              <w:rPr>
                <w:rFonts w:hint="eastAsia" w:ascii="Times New Roman" w:hAnsi="Times New Roman" w:eastAsia="汉仪旗黑-30简" w:cs="汉仪旗黑-30简"/>
                <w:color w:val="auto"/>
                <w:sz w:val="21"/>
                <w:szCs w:val="21"/>
                <w:lang w:val="en-US" w:eastAsia="zh-CN"/>
              </w:rPr>
              <w:t>—</w:t>
            </w:r>
            <w:r>
              <w:rPr>
                <w:rFonts w:hint="eastAsia" w:ascii="Times New Roman" w:hAnsi="Times New Roman" w:eastAsia="方正仿宋_GBK" w:cs="Times New Roman"/>
                <w:color w:val="auto"/>
                <w:sz w:val="21"/>
                <w:szCs w:val="21"/>
                <w:lang w:val="en-US" w:eastAsia="zh-CN"/>
              </w:rPr>
              <w:t>2个候选药物临床前研究并获得临床批件”考核指标内容。</w:t>
            </w:r>
          </w:p>
          <w:p>
            <w:pPr>
              <w:snapToGrid w:val="0"/>
              <w:spacing w:line="240" w:lineRule="atLeast"/>
              <w:ind w:firstLine="420" w:firstLineChars="200"/>
              <w:rPr>
                <w:rFonts w:hint="eastAsia" w:ascii="Times New Roman" w:hAnsi="Times New Roman" w:eastAsia="方正仿宋_GBK" w:cs="Times New Roman"/>
                <w:color w:val="auto"/>
                <w:sz w:val="21"/>
                <w:szCs w:val="21"/>
                <w:lang w:eastAsia="zh-CN"/>
              </w:rPr>
            </w:pPr>
            <w:r>
              <w:rPr>
                <w:rFonts w:hint="eastAsia" w:ascii="Times New Roman" w:hAnsi="Times New Roman" w:eastAsia="方正仿宋_GBK" w:cs="Times New Roman"/>
                <w:color w:val="auto"/>
                <w:sz w:val="21"/>
                <w:szCs w:val="21"/>
                <w:lang w:val="en-US" w:eastAsia="zh-CN"/>
              </w:rPr>
              <w:t>整改意见：1.加快推进项目临床前新药申报，确保项目执行期获取批件。2.加快项目预算执行进度。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16" w:type="dxa"/>
            <w:vAlign w:val="center"/>
          </w:tcPr>
          <w:p>
            <w:pPr>
              <w:ind w:firstLine="210" w:firstLineChars="100"/>
              <w:jc w:val="both"/>
              <w:rPr>
                <w:rFonts w:ascii="Times New Roman" w:hAnsi="Times New Roman" w:cs="Times New Roman"/>
                <w:color w:val="auto"/>
                <w:sz w:val="21"/>
                <w:szCs w:val="21"/>
              </w:rPr>
            </w:pPr>
            <w:r>
              <w:rPr>
                <w:rFonts w:hint="default" w:ascii="Times New Roman" w:hAnsi="Times New Roman" w:cs="Times New Roman"/>
                <w:color w:val="auto"/>
                <w:sz w:val="21"/>
                <w:szCs w:val="21"/>
              </w:rPr>
              <w:t>3</w:t>
            </w:r>
          </w:p>
        </w:tc>
        <w:tc>
          <w:tcPr>
            <w:tcW w:w="1322" w:type="dxa"/>
            <w:vAlign w:val="center"/>
          </w:tcPr>
          <w:p>
            <w:pPr>
              <w:ind w:firstLine="0" w:firstLineChars="0"/>
              <w:jc w:val="left"/>
              <w:rPr>
                <w:rFonts w:ascii="Times New Roman" w:hAnsi="Times New Roman" w:eastAsia="方正仿宋_GBK" w:cs="Times New Roman"/>
                <w:color w:val="auto"/>
                <w:sz w:val="21"/>
                <w:szCs w:val="21"/>
              </w:rPr>
            </w:pPr>
            <w:r>
              <w:rPr>
                <w:rFonts w:hint="eastAsia" w:ascii="Times New Roman" w:hAnsi="Times New Roman" w:eastAsia="方正仿宋_GBK" w:cs="Times New Roman"/>
                <w:color w:val="auto"/>
                <w:sz w:val="21"/>
                <w:szCs w:val="21"/>
                <w:lang w:val="en-US" w:eastAsia="zh-CN"/>
              </w:rPr>
              <w:t>中国科学院昆明分院</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12100000431204830U</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2021.04.27</w:t>
            </w:r>
          </w:p>
        </w:tc>
        <w:tc>
          <w:tcPr>
            <w:tcW w:w="8280" w:type="dxa"/>
            <w:vAlign w:val="top"/>
          </w:tcPr>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依据《云南省科技厅科技计划项目管理办法》、</w:t>
            </w:r>
            <w:r>
              <w:rPr>
                <w:rFonts w:hint="default" w:ascii="Times New Roman" w:hAnsi="Times New Roman" w:eastAsia="方正仿宋_GBK" w:cs="Times New Roman"/>
                <w:color w:val="auto"/>
                <w:sz w:val="21"/>
                <w:szCs w:val="21"/>
                <w:lang w:val="en-US" w:eastAsia="zh-CN"/>
              </w:rPr>
              <w:t>《云南省科技计划项目资金管理办法》</w:t>
            </w:r>
            <w:r>
              <w:rPr>
                <w:rFonts w:hint="eastAsia" w:ascii="Times New Roman" w:hAnsi="Times New Roman" w:eastAsia="方正仿宋_GBK" w:cs="Times New Roman"/>
                <w:color w:val="auto"/>
                <w:sz w:val="21"/>
                <w:szCs w:val="21"/>
                <w:lang w:val="en-US" w:eastAsia="zh-CN"/>
              </w:rPr>
              <w:t>等，对中国科学院昆明分院</w:t>
            </w:r>
            <w:r>
              <w:rPr>
                <w:rFonts w:hint="default" w:ascii="Times New Roman" w:hAnsi="Times New Roman" w:eastAsia="方正仿宋_GBK" w:cs="Times New Roman"/>
                <w:color w:val="auto"/>
                <w:sz w:val="21"/>
                <w:szCs w:val="21"/>
                <w:lang w:val="en-US" w:eastAsia="zh-CN"/>
              </w:rPr>
              <w:t>组织实施的省科技计划</w:t>
            </w:r>
            <w:r>
              <w:rPr>
                <w:rFonts w:hint="eastAsia" w:ascii="Times New Roman" w:hAnsi="Times New Roman" w:eastAsia="方正仿宋_GBK" w:cs="Times New Roman"/>
                <w:color w:val="auto"/>
                <w:sz w:val="21"/>
                <w:szCs w:val="21"/>
                <w:lang w:val="en-US" w:eastAsia="zh-CN"/>
              </w:rPr>
              <w:t>“支撑哀牢山—无量山国家公园建设综合科学考察补助”</w:t>
            </w:r>
            <w:r>
              <w:rPr>
                <w:rFonts w:hint="default" w:ascii="Times New Roman" w:hAnsi="Times New Roman" w:eastAsia="方正仿宋_GBK" w:cs="Times New Roman"/>
                <w:color w:val="auto"/>
                <w:sz w:val="21"/>
                <w:szCs w:val="21"/>
                <w:lang w:val="en-US" w:eastAsia="zh-CN"/>
              </w:rPr>
              <w:t>项目</w:t>
            </w:r>
            <w:r>
              <w:rPr>
                <w:rFonts w:hint="eastAsia" w:ascii="Times New Roman" w:hAnsi="Times New Roman" w:eastAsia="方正仿宋_GBK" w:cs="Times New Roman"/>
                <w:color w:val="auto"/>
                <w:sz w:val="21"/>
                <w:szCs w:val="21"/>
                <w:lang w:val="en-US" w:eastAsia="zh-CN"/>
              </w:rPr>
              <w:t>（编号：2019IB018，财政科技</w:t>
            </w:r>
            <w:r>
              <w:rPr>
                <w:rFonts w:hint="default" w:ascii="Times New Roman" w:hAnsi="Times New Roman" w:eastAsia="方正仿宋_GBK" w:cs="Times New Roman"/>
                <w:color w:val="auto"/>
                <w:sz w:val="21"/>
                <w:szCs w:val="21"/>
                <w:lang w:val="en-US" w:eastAsia="zh-CN"/>
              </w:rPr>
              <w:t>经费</w:t>
            </w:r>
            <w:r>
              <w:rPr>
                <w:rFonts w:hint="eastAsia" w:ascii="Times New Roman" w:hAnsi="Times New Roman" w:eastAsia="方正仿宋_GBK" w:cs="Times New Roman"/>
                <w:color w:val="auto"/>
                <w:sz w:val="21"/>
                <w:szCs w:val="21"/>
                <w:lang w:val="en-US" w:eastAsia="zh-CN"/>
              </w:rPr>
              <w:t>480</w:t>
            </w:r>
            <w:r>
              <w:rPr>
                <w:rFonts w:hint="default" w:ascii="Times New Roman" w:hAnsi="Times New Roman" w:eastAsia="方正仿宋_GBK" w:cs="Times New Roman"/>
                <w:color w:val="auto"/>
                <w:sz w:val="21"/>
                <w:szCs w:val="21"/>
                <w:lang w:val="en-US" w:eastAsia="zh-CN"/>
              </w:rPr>
              <w:t>万元</w:t>
            </w:r>
            <w:r>
              <w:rPr>
                <w:rFonts w:hint="eastAsia" w:ascii="Times New Roman" w:hAnsi="Times New Roman" w:eastAsia="方正仿宋_GBK" w:cs="Times New Roman"/>
                <w:color w:val="auto"/>
                <w:sz w:val="21"/>
                <w:szCs w:val="21"/>
                <w:lang w:val="en-US" w:eastAsia="zh-CN"/>
              </w:rPr>
              <w:t>，项目执行期为2019年10月至2021年12月）实施</w:t>
            </w:r>
            <w:r>
              <w:rPr>
                <w:rFonts w:hint="default" w:ascii="Times New Roman" w:hAnsi="Times New Roman" w:eastAsia="方正仿宋_GBK" w:cs="Times New Roman"/>
                <w:color w:val="auto"/>
                <w:sz w:val="21"/>
                <w:szCs w:val="21"/>
                <w:lang w:val="en-US" w:eastAsia="zh-CN"/>
              </w:rPr>
              <w:t>检查。</w:t>
            </w:r>
            <w:r>
              <w:rPr>
                <w:rFonts w:hint="eastAsia" w:ascii="Times New Roman" w:hAnsi="Times New Roman" w:eastAsia="方正仿宋_GBK" w:cs="Times New Roman"/>
                <w:color w:val="auto"/>
                <w:sz w:val="21"/>
                <w:szCs w:val="21"/>
                <w:lang w:val="en-US" w:eastAsia="zh-CN"/>
              </w:rPr>
              <w:t xml:space="preserve">  </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检查发现</w:t>
            </w:r>
            <w:r>
              <w:rPr>
                <w:rFonts w:hint="default" w:ascii="Times New Roman" w:hAnsi="Times New Roman" w:eastAsia="方正仿宋_GBK" w:cs="Times New Roman"/>
                <w:color w:val="auto"/>
                <w:sz w:val="21"/>
                <w:szCs w:val="21"/>
                <w:lang w:val="en-US" w:eastAsia="zh-CN"/>
              </w:rPr>
              <w:t>问题：</w:t>
            </w:r>
            <w:r>
              <w:rPr>
                <w:rFonts w:hint="eastAsia" w:ascii="Times New Roman" w:hAnsi="Times New Roman" w:eastAsia="方正仿宋_GBK" w:cs="Times New Roman"/>
                <w:color w:val="auto"/>
                <w:sz w:val="21"/>
                <w:szCs w:val="21"/>
                <w:lang w:val="en-US" w:eastAsia="zh-CN"/>
              </w:rPr>
              <w:t>1.项目预算执行滞后（截至2021年4月，预算执行进度仅为37.8%）。2.未按项目合同要求组织开展国际考察、国内调研及设备采购。3.部分经费实际支出与预算科目不一致。</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整改意见：1.加快项目预算执行进度。2.严格按项目合同约定组织相关国际考察、国内调研及所需要设备的采购。3.项目单位按省科技计划项目及经费管理相关规定，规范财政科技经费的使用和管理。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rPr>
        <w:tc>
          <w:tcPr>
            <w:tcW w:w="716" w:type="dxa"/>
            <w:vAlign w:val="center"/>
          </w:tcPr>
          <w:p>
            <w:pPr>
              <w:ind w:firstLine="210" w:firstLineChars="100"/>
              <w:jc w:val="both"/>
              <w:rPr>
                <w:rFonts w:ascii="Times New Roman" w:hAnsi="Times New Roman" w:cs="Times New Roman"/>
                <w:color w:val="auto"/>
                <w:sz w:val="21"/>
                <w:szCs w:val="21"/>
              </w:rPr>
            </w:pPr>
            <w:r>
              <w:rPr>
                <w:rFonts w:hint="default" w:ascii="Times New Roman" w:hAnsi="Times New Roman" w:cs="Times New Roman"/>
                <w:color w:val="auto"/>
                <w:sz w:val="21"/>
                <w:szCs w:val="21"/>
              </w:rPr>
              <w:t>4</w:t>
            </w:r>
          </w:p>
        </w:tc>
        <w:tc>
          <w:tcPr>
            <w:tcW w:w="1322" w:type="dxa"/>
            <w:vAlign w:val="center"/>
          </w:tcPr>
          <w:p>
            <w:pPr>
              <w:ind w:firstLine="0" w:firstLineChars="0"/>
              <w:jc w:val="left"/>
              <w:rPr>
                <w:rFonts w:ascii="Times New Roman" w:hAnsi="Times New Roman" w:eastAsia="方正仿宋_GBK" w:cs="Times New Roman"/>
                <w:color w:val="auto"/>
                <w:sz w:val="21"/>
                <w:szCs w:val="21"/>
              </w:rPr>
            </w:pPr>
            <w:r>
              <w:rPr>
                <w:rFonts w:hint="eastAsia" w:ascii="Times New Roman" w:hAnsi="Times New Roman" w:eastAsia="方正仿宋_GBK" w:cs="Times New Roman"/>
                <w:color w:val="auto"/>
                <w:sz w:val="21"/>
                <w:szCs w:val="21"/>
              </w:rPr>
              <w:t>昆明医科大学第二附属医院</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125300004312007054R</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2021.05.12</w:t>
            </w:r>
          </w:p>
        </w:tc>
        <w:tc>
          <w:tcPr>
            <w:tcW w:w="8280" w:type="dxa"/>
            <w:vAlign w:val="top"/>
          </w:tcPr>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依据《云南省科技厅科技计划项目管理办法》、《云南省科技计划项目资金管理办法》等，对昆明医科大学第二附属医院</w:t>
            </w:r>
            <w:r>
              <w:rPr>
                <w:rFonts w:hint="default" w:ascii="Times New Roman" w:hAnsi="Times New Roman" w:eastAsia="方正仿宋_GBK" w:cs="Times New Roman"/>
                <w:color w:val="auto"/>
                <w:sz w:val="21"/>
                <w:szCs w:val="21"/>
                <w:lang w:val="en-US" w:eastAsia="zh-CN"/>
              </w:rPr>
              <w:t>组织实施的省科技计划</w:t>
            </w:r>
            <w:r>
              <w:rPr>
                <w:rFonts w:hint="eastAsia" w:ascii="Times New Roman" w:hAnsi="Times New Roman" w:eastAsia="方正仿宋_GBK" w:cs="Times New Roman"/>
                <w:color w:val="auto"/>
                <w:sz w:val="21"/>
                <w:szCs w:val="21"/>
                <w:lang w:val="en-US" w:eastAsia="zh-CN"/>
              </w:rPr>
              <w:t>“昆明医科大学第二附属医院院士专家工作站”</w:t>
            </w:r>
            <w:r>
              <w:rPr>
                <w:rFonts w:hint="default" w:ascii="Times New Roman" w:hAnsi="Times New Roman" w:eastAsia="方正仿宋_GBK" w:cs="Times New Roman"/>
                <w:color w:val="auto"/>
                <w:sz w:val="21"/>
                <w:szCs w:val="21"/>
                <w:lang w:val="en-US" w:eastAsia="zh-CN"/>
              </w:rPr>
              <w:t>项目</w:t>
            </w:r>
            <w:r>
              <w:rPr>
                <w:rFonts w:hint="eastAsia" w:ascii="Times New Roman" w:hAnsi="Times New Roman" w:eastAsia="方正仿宋_GBK" w:cs="Times New Roman"/>
                <w:color w:val="auto"/>
                <w:sz w:val="21"/>
                <w:szCs w:val="21"/>
                <w:lang w:val="en-US" w:eastAsia="zh-CN"/>
              </w:rPr>
              <w:t>（编号：2019IC034，财政科技</w:t>
            </w:r>
            <w:r>
              <w:rPr>
                <w:rFonts w:hint="default" w:ascii="Times New Roman" w:hAnsi="Times New Roman" w:eastAsia="方正仿宋_GBK" w:cs="Times New Roman"/>
                <w:color w:val="auto"/>
                <w:sz w:val="21"/>
                <w:szCs w:val="21"/>
                <w:lang w:val="en-US" w:eastAsia="zh-CN"/>
              </w:rPr>
              <w:t>经费</w:t>
            </w:r>
            <w:r>
              <w:rPr>
                <w:rFonts w:hint="eastAsia" w:ascii="Times New Roman" w:hAnsi="Times New Roman" w:eastAsia="方正仿宋_GBK" w:cs="Times New Roman"/>
                <w:color w:val="auto"/>
                <w:sz w:val="21"/>
                <w:szCs w:val="21"/>
                <w:lang w:val="en-US" w:eastAsia="zh-CN"/>
              </w:rPr>
              <w:t>540</w:t>
            </w:r>
            <w:r>
              <w:rPr>
                <w:rFonts w:hint="default" w:ascii="Times New Roman" w:hAnsi="Times New Roman" w:eastAsia="方正仿宋_GBK" w:cs="Times New Roman"/>
                <w:color w:val="auto"/>
                <w:sz w:val="21"/>
                <w:szCs w:val="21"/>
                <w:lang w:val="en-US" w:eastAsia="zh-CN"/>
              </w:rPr>
              <w:t>万元</w:t>
            </w:r>
            <w:r>
              <w:rPr>
                <w:rFonts w:hint="eastAsia" w:ascii="Times New Roman" w:hAnsi="Times New Roman" w:eastAsia="方正仿宋_GBK" w:cs="Times New Roman"/>
                <w:color w:val="auto"/>
                <w:sz w:val="21"/>
                <w:szCs w:val="21"/>
                <w:lang w:val="en-US" w:eastAsia="zh-CN"/>
              </w:rPr>
              <w:t>）实施检查</w:t>
            </w:r>
            <w:r>
              <w:rPr>
                <w:rFonts w:hint="default" w:ascii="Times New Roman" w:hAnsi="Times New Roman" w:eastAsia="方正仿宋_GBK" w:cs="Times New Roman"/>
                <w:color w:val="auto"/>
                <w:sz w:val="21"/>
                <w:szCs w:val="21"/>
                <w:lang w:val="en-US" w:eastAsia="zh-CN"/>
              </w:rPr>
              <w:t>。</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检查发现</w:t>
            </w:r>
            <w:r>
              <w:rPr>
                <w:rFonts w:hint="default" w:ascii="Times New Roman" w:hAnsi="Times New Roman" w:eastAsia="方正仿宋_GBK" w:cs="Times New Roman"/>
                <w:color w:val="auto"/>
                <w:sz w:val="21"/>
                <w:szCs w:val="21"/>
                <w:lang w:val="en-US" w:eastAsia="zh-CN"/>
              </w:rPr>
              <w:t>问题：1.</w:t>
            </w:r>
            <w:r>
              <w:rPr>
                <w:rFonts w:hint="eastAsia" w:ascii="Times New Roman" w:hAnsi="Times New Roman" w:eastAsia="方正仿宋_GBK" w:cs="Times New Roman"/>
                <w:color w:val="auto"/>
                <w:sz w:val="21"/>
                <w:szCs w:val="21"/>
                <w:lang w:val="en-US" w:eastAsia="zh-CN"/>
              </w:rPr>
              <w:t>受新冠肺炎疫情影响，项目单位与工作站专家的技术交流合作受阻，相应经费预算执行进度滞后。2.项目单位对项目产生的社会效益梳理总结不够，材料支撑不足。3.项目支出明细及项目支出分类归集统计未按财政科技经费和自筹经费分别列示。</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default" w:ascii="Times New Roman" w:hAnsi="Times New Roman" w:eastAsia="方正仿宋_GBK" w:cs="Times New Roman"/>
                <w:color w:val="auto"/>
                <w:sz w:val="21"/>
                <w:szCs w:val="21"/>
                <w:lang w:val="en-US" w:eastAsia="zh-CN"/>
              </w:rPr>
              <w:t>整改意见：1.</w:t>
            </w:r>
            <w:r>
              <w:rPr>
                <w:rFonts w:hint="eastAsia" w:ascii="Times New Roman" w:hAnsi="Times New Roman" w:eastAsia="方正仿宋_GBK" w:cs="Times New Roman"/>
                <w:color w:val="auto"/>
                <w:sz w:val="21"/>
                <w:szCs w:val="21"/>
                <w:lang w:val="en-US" w:eastAsia="zh-CN"/>
              </w:rPr>
              <w:t>加强项目单位与工作站专家的技术交流合作，加快经费预算特别是自筹经费预算的执行进度。2.加强对项目实施成果的总结，严格履行项目合同约定，按时提交项目验收申请。3.按省科技计划项目及经费管理相关规定，规范项目经费的归集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750" w:hRule="atLeast"/>
        </w:trPr>
        <w:tc>
          <w:tcPr>
            <w:tcW w:w="716" w:type="dxa"/>
            <w:vAlign w:val="center"/>
          </w:tcPr>
          <w:p>
            <w:pPr>
              <w:ind w:firstLine="210" w:firstLineChars="100"/>
              <w:jc w:val="both"/>
              <w:rPr>
                <w:rFonts w:hint="eastAsia" w:ascii="Times New Roman" w:hAnsi="Times New Roman" w:eastAsia="方正仿宋简体" w:cs="Times New Roman"/>
                <w:color w:val="auto"/>
                <w:sz w:val="21"/>
                <w:szCs w:val="21"/>
                <w:lang w:eastAsia="zh-CN"/>
              </w:rPr>
            </w:pPr>
            <w:r>
              <w:rPr>
                <w:rFonts w:hint="eastAsia" w:ascii="Times New Roman" w:hAnsi="Times New Roman" w:cs="Times New Roman"/>
                <w:color w:val="auto"/>
                <w:sz w:val="21"/>
                <w:szCs w:val="21"/>
                <w:lang w:val="en-US" w:eastAsia="zh-CN"/>
              </w:rPr>
              <w:t>5</w:t>
            </w:r>
          </w:p>
        </w:tc>
        <w:tc>
          <w:tcPr>
            <w:tcW w:w="1322" w:type="dxa"/>
            <w:vAlign w:val="center"/>
          </w:tcPr>
          <w:p>
            <w:pPr>
              <w:ind w:firstLine="0" w:firstLineChars="0"/>
              <w:jc w:val="left"/>
              <w:rPr>
                <w:rFonts w:ascii="Times New Roman" w:hAnsi="Times New Roman" w:eastAsia="方正仿宋_GBK" w:cs="Times New Roman"/>
                <w:color w:val="auto"/>
                <w:sz w:val="21"/>
                <w:szCs w:val="21"/>
              </w:rPr>
            </w:pPr>
            <w:r>
              <w:rPr>
                <w:rFonts w:hint="eastAsia" w:ascii="Times New Roman" w:hAnsi="Times New Roman" w:eastAsia="方正仿宋_GBK" w:cs="Times New Roman"/>
                <w:color w:val="auto"/>
                <w:sz w:val="21"/>
                <w:szCs w:val="21"/>
              </w:rPr>
              <w:t>中国医学科学院医学生物学研究所</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121000004312065107</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2021.04.23</w:t>
            </w:r>
          </w:p>
        </w:tc>
        <w:tc>
          <w:tcPr>
            <w:tcW w:w="8280" w:type="dxa"/>
            <w:vAlign w:val="top"/>
          </w:tcPr>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依据《云南省实验动物管理条例》和《云南省实验动物许可证管理办法》，对中国医学科学院医学生物学研究所实施实验动物使用许可相关事项的检查。</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接受检查单位实验动物设施设备运行情况良好，实验动物制度、工作方案和档案记录规范，实验动物来源明确、规范，实验动物尸体及废弃物处理规范。</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检查未发现问题。</w:t>
            </w:r>
          </w:p>
          <w:p>
            <w:pPr>
              <w:snapToGrid w:val="0"/>
              <w:spacing w:line="240" w:lineRule="atLeast"/>
              <w:ind w:firstLine="420" w:firstLineChars="200"/>
              <w:rPr>
                <w:rFonts w:ascii="Times New Roman" w:hAnsi="Times New Roman" w:cs="Times New Roman"/>
                <w:color w:val="auto"/>
                <w:sz w:val="21"/>
                <w:szCs w:val="21"/>
                <w:lang w:val="en-US"/>
              </w:rPr>
            </w:pPr>
            <w:r>
              <w:rPr>
                <w:rFonts w:hint="eastAsia" w:ascii="Times New Roman" w:hAnsi="Times New Roman" w:eastAsia="方正仿宋_GBK" w:cs="Times New Roman"/>
                <w:color w:val="auto"/>
                <w:sz w:val="21"/>
                <w:szCs w:val="21"/>
                <w:lang w:val="en-US" w:eastAsia="zh-CN"/>
              </w:rPr>
              <w:t>建议：1.加大人才培养和引进工作力度。2.强化实物动物管理档案电子化建设。3.加强工作人员职业技能培训。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0" w:hRule="atLeast"/>
        </w:trPr>
        <w:tc>
          <w:tcPr>
            <w:tcW w:w="716" w:type="dxa"/>
            <w:vAlign w:val="center"/>
          </w:tcPr>
          <w:p>
            <w:pPr>
              <w:ind w:firstLine="210" w:firstLineChars="100"/>
              <w:jc w:val="both"/>
              <w:rPr>
                <w:rFonts w:hint="default"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6</w:t>
            </w:r>
          </w:p>
        </w:tc>
        <w:tc>
          <w:tcPr>
            <w:tcW w:w="1322" w:type="dxa"/>
            <w:vAlign w:val="center"/>
          </w:tcPr>
          <w:p>
            <w:pPr>
              <w:ind w:firstLine="0" w:firstLineChars="0"/>
              <w:jc w:val="left"/>
              <w:rPr>
                <w:rFonts w:hint="eastAsia" w:ascii="Times New Roman" w:hAnsi="Times New Roman" w:eastAsia="方正仿宋_GBK" w:cs="Times New Roman"/>
                <w:color w:val="auto"/>
                <w:sz w:val="21"/>
                <w:szCs w:val="21"/>
              </w:rPr>
            </w:pPr>
            <w:r>
              <w:rPr>
                <w:rFonts w:hint="eastAsia" w:ascii="Times New Roman" w:hAnsi="Times New Roman" w:eastAsia="方正仿宋_GBK" w:cs="Times New Roman"/>
                <w:color w:val="auto"/>
                <w:sz w:val="21"/>
                <w:szCs w:val="21"/>
              </w:rPr>
              <w:t>云南省药物研究所</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91530000431201496A</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2021.04.23</w:t>
            </w:r>
          </w:p>
        </w:tc>
        <w:tc>
          <w:tcPr>
            <w:tcW w:w="8280" w:type="dxa"/>
            <w:vAlign w:val="top"/>
          </w:tcPr>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依据《云南省实验动物管理条例》和《云南省实验动物许可证管理办法》，对云南省药物研究所实施实验动物使用许可事项的</w:t>
            </w:r>
            <w:r>
              <w:rPr>
                <w:rFonts w:hint="default" w:ascii="Times New Roman" w:hAnsi="Times New Roman" w:eastAsia="方正仿宋_GBK" w:cs="Times New Roman"/>
                <w:color w:val="auto"/>
                <w:sz w:val="21"/>
                <w:szCs w:val="21"/>
                <w:lang w:val="en-US" w:eastAsia="zh-CN"/>
              </w:rPr>
              <w:t>检查</w:t>
            </w:r>
            <w:r>
              <w:rPr>
                <w:rFonts w:hint="eastAsia" w:ascii="Times New Roman" w:hAnsi="Times New Roman" w:eastAsia="方正仿宋_GBK" w:cs="Times New Roman"/>
                <w:color w:val="auto"/>
                <w:sz w:val="21"/>
                <w:szCs w:val="21"/>
                <w:lang w:val="en-US" w:eastAsia="zh-CN"/>
              </w:rPr>
              <w:t>。</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检查未发现明显问题。</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建议：1.新建实验动物设施时增加实验动物接收检疫过渡区域。2.进一步健全实验动物过程管理信息化系统。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0" w:hRule="atLeast"/>
        </w:trPr>
        <w:tc>
          <w:tcPr>
            <w:tcW w:w="716" w:type="dxa"/>
            <w:vAlign w:val="center"/>
          </w:tcPr>
          <w:p>
            <w:pPr>
              <w:ind w:firstLine="210" w:firstLineChars="100"/>
              <w:jc w:val="both"/>
              <w:rPr>
                <w:rFonts w:hint="eastAsia" w:ascii="Times New Roman" w:hAnsi="Times New Roman" w:eastAsia="方正仿宋简体" w:cs="Times New Roman"/>
                <w:color w:val="auto"/>
                <w:sz w:val="21"/>
                <w:szCs w:val="21"/>
                <w:lang w:val="en-US" w:eastAsia="zh-CN"/>
              </w:rPr>
            </w:pPr>
            <w:r>
              <w:rPr>
                <w:rFonts w:hint="eastAsia" w:ascii="Times New Roman" w:hAnsi="Times New Roman" w:cs="Times New Roman"/>
                <w:color w:val="auto"/>
                <w:sz w:val="21"/>
                <w:szCs w:val="21"/>
                <w:lang w:val="en-US" w:eastAsia="zh-CN"/>
              </w:rPr>
              <w:t>7</w:t>
            </w:r>
          </w:p>
        </w:tc>
        <w:tc>
          <w:tcPr>
            <w:tcW w:w="1322" w:type="dxa"/>
            <w:vAlign w:val="center"/>
          </w:tcPr>
          <w:p>
            <w:pPr>
              <w:ind w:firstLine="0" w:firstLineChars="0"/>
              <w:jc w:val="left"/>
              <w:rPr>
                <w:rFonts w:hint="eastAsia" w:ascii="Times New Roman" w:hAnsi="Times New Roman"/>
                <w:color w:val="auto"/>
                <w:sz w:val="21"/>
                <w:szCs w:val="21"/>
              </w:rPr>
            </w:pPr>
            <w:r>
              <w:rPr>
                <w:rFonts w:hint="eastAsia" w:ascii="Times New Roman" w:hAnsi="Times New Roman" w:eastAsia="方正仿宋_GBK" w:cs="Times New Roman"/>
                <w:color w:val="auto"/>
                <w:sz w:val="21"/>
                <w:szCs w:val="21"/>
              </w:rPr>
              <w:t>大理大学</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125300004325450043</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2021.04.27</w:t>
            </w:r>
          </w:p>
        </w:tc>
        <w:tc>
          <w:tcPr>
            <w:tcW w:w="8280" w:type="dxa"/>
            <w:vAlign w:val="top"/>
          </w:tcPr>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依据《云南省实验动物管理条例》和《云南省实验动物许可证管理办法》，对大理大学实验动物生产许可相关事项实施检查。</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检查未发现明显问题。</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建议：1.采用送检与自检相结合的质量检测方式加强实验动物的自检。2.加强实验动物专业技术人员配备。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52" w:hRule="atLeast"/>
        </w:trPr>
        <w:tc>
          <w:tcPr>
            <w:tcW w:w="716" w:type="dxa"/>
            <w:vAlign w:val="center"/>
          </w:tcPr>
          <w:p>
            <w:pPr>
              <w:ind w:left="0" w:leftChars="0"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1322" w:type="dxa"/>
            <w:vAlign w:val="center"/>
          </w:tcPr>
          <w:p>
            <w:pPr>
              <w:ind w:firstLine="0" w:firstLineChars="0"/>
              <w:jc w:val="left"/>
              <w:rPr>
                <w:rFonts w:hint="eastAsia" w:ascii="Times New Roman" w:hAnsi="Times New Roman" w:eastAsia="方正仿宋_GBK" w:cs="Times New Roman"/>
                <w:color w:val="auto"/>
                <w:sz w:val="21"/>
                <w:szCs w:val="21"/>
                <w:lang w:eastAsia="zh-CN"/>
              </w:rPr>
            </w:pPr>
            <w:r>
              <w:rPr>
                <w:rFonts w:hint="eastAsia" w:ascii="Times New Roman" w:hAnsi="Times New Roman" w:eastAsia="方正仿宋_GBK" w:cs="Times New Roman"/>
                <w:color w:val="auto"/>
                <w:sz w:val="21"/>
                <w:szCs w:val="21"/>
              </w:rPr>
              <w:t>云南滇红集团</w:t>
            </w:r>
            <w:r>
              <w:rPr>
                <w:rFonts w:hint="eastAsia" w:ascii="Times New Roman" w:hAnsi="Times New Roman" w:eastAsia="方正仿宋_GBK" w:cs="Times New Roman"/>
                <w:color w:val="auto"/>
                <w:sz w:val="21"/>
                <w:szCs w:val="21"/>
                <w:lang w:eastAsia="zh-CN"/>
              </w:rPr>
              <w:t>股份有限公司</w:t>
            </w:r>
          </w:p>
        </w:tc>
        <w:tc>
          <w:tcPr>
            <w:tcW w:w="2895"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915300002195212304</w:t>
            </w:r>
          </w:p>
        </w:tc>
        <w:tc>
          <w:tcPr>
            <w:tcW w:w="1470" w:type="dxa"/>
            <w:vAlign w:val="center"/>
          </w:tcPr>
          <w:p>
            <w:pPr>
              <w:ind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2021.04.25</w:t>
            </w:r>
          </w:p>
        </w:tc>
        <w:tc>
          <w:tcPr>
            <w:tcW w:w="8280" w:type="dxa"/>
            <w:vAlign w:val="top"/>
          </w:tcPr>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依据《云南省科普基地管理办法》对云南滇红集团滇红茶博物馆科普教育基地实施检查。</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云南滇红集团滇红茶博物馆由老厂区滇红茶博物馆和新厂区滇红茶多功能展示厅两部分组成。老厂区滇红茶博物馆创建于1988年、占地9333.38㎡（其中博物馆面积450㎡），被列为全国重点文物保护单位和国家工业遗产，新厂区多功能展示厅建设于2010年、占地面积226667.8㎡（其中多功能展示厅200㎡）。经过多年发展，云南滇红集团滇红茶博物馆已被省人民政府列为爱国主义教育基地和科普教育基地，并被各高等院校作为实践见习和教学基地，每年接待社会各界人士进行历史文化等科博教育6000至7000人次。</w:t>
            </w:r>
          </w:p>
          <w:p>
            <w:pPr>
              <w:snapToGrid w:val="0"/>
              <w:spacing w:line="240" w:lineRule="atLeast"/>
              <w:ind w:firstLine="420" w:firstLineChars="200"/>
              <w:rPr>
                <w:rFonts w:hint="eastAsia" w:ascii="Times New Roman" w:hAnsi="Times New Roman" w:eastAsia="方正仿宋_GBK" w:cs="Times New Roman"/>
                <w:color w:val="auto"/>
                <w:sz w:val="21"/>
                <w:szCs w:val="21"/>
                <w:lang w:eastAsia="zh-CN"/>
              </w:rPr>
            </w:pPr>
            <w:r>
              <w:rPr>
                <w:rFonts w:hint="eastAsia" w:ascii="Times New Roman" w:hAnsi="Times New Roman" w:eastAsia="方正仿宋_GBK" w:cs="Times New Roman"/>
                <w:color w:val="auto"/>
                <w:sz w:val="21"/>
                <w:szCs w:val="21"/>
                <w:lang w:val="en-US" w:eastAsia="zh-CN"/>
              </w:rPr>
              <w:t>检查未发现</w:t>
            </w:r>
            <w:r>
              <w:rPr>
                <w:rFonts w:hint="eastAsia" w:ascii="Times New Roman" w:hAnsi="Times New Roman" w:eastAsia="方正仿宋_GBK" w:cs="Times New Roman"/>
                <w:color w:val="auto"/>
                <w:sz w:val="21"/>
                <w:szCs w:val="21"/>
                <w:lang w:eastAsia="zh-CN"/>
              </w:rPr>
              <w:t>故意损坏</w:t>
            </w:r>
            <w:r>
              <w:rPr>
                <w:rFonts w:hint="eastAsia" w:ascii="Times New Roman" w:hAnsi="Times New Roman" w:eastAsia="方正仿宋_GBK" w:cs="Times New Roman"/>
                <w:color w:val="auto"/>
                <w:sz w:val="21"/>
                <w:szCs w:val="21"/>
                <w:lang w:val="en-US" w:eastAsia="zh-CN"/>
              </w:rPr>
              <w:t>科普场所和设施</w:t>
            </w:r>
            <w:r>
              <w:rPr>
                <w:rFonts w:hint="eastAsia" w:ascii="Times New Roman" w:hAnsi="Times New Roman" w:eastAsia="方正仿宋_GBK" w:cs="Times New Roman"/>
                <w:color w:val="auto"/>
                <w:sz w:val="21"/>
                <w:szCs w:val="21"/>
                <w:lang w:eastAsia="zh-CN"/>
              </w:rPr>
              <w:t>，以及</w:t>
            </w:r>
            <w:r>
              <w:rPr>
                <w:rFonts w:hint="eastAsia" w:ascii="Times New Roman" w:hAnsi="Times New Roman" w:eastAsia="方正仿宋_GBK" w:cs="Times New Roman"/>
                <w:color w:val="auto"/>
                <w:sz w:val="21"/>
                <w:szCs w:val="21"/>
                <w:lang w:val="en-US" w:eastAsia="zh-CN"/>
              </w:rPr>
              <w:t>科普场所和设施</w:t>
            </w:r>
            <w:r>
              <w:rPr>
                <w:rFonts w:hint="eastAsia" w:ascii="Times New Roman" w:hAnsi="Times New Roman" w:eastAsia="方正仿宋_GBK" w:cs="Times New Roman"/>
                <w:color w:val="auto"/>
                <w:sz w:val="21"/>
                <w:szCs w:val="21"/>
                <w:lang w:eastAsia="zh-CN"/>
              </w:rPr>
              <w:t>被侵占或</w:t>
            </w:r>
            <w:r>
              <w:rPr>
                <w:rFonts w:hint="eastAsia" w:ascii="Times New Roman" w:hAnsi="Times New Roman" w:eastAsia="方正仿宋_GBK" w:cs="Times New Roman"/>
                <w:color w:val="auto"/>
                <w:sz w:val="21"/>
                <w:szCs w:val="21"/>
                <w:lang w:val="en-US" w:eastAsia="zh-CN"/>
              </w:rPr>
              <w:t>挪作</w:t>
            </w:r>
            <w:r>
              <w:rPr>
                <w:rFonts w:hint="eastAsia" w:ascii="Times New Roman" w:hAnsi="Times New Roman" w:eastAsia="方正仿宋_GBK" w:cs="Times New Roman"/>
                <w:color w:val="auto"/>
                <w:sz w:val="21"/>
                <w:szCs w:val="21"/>
                <w:lang w:eastAsia="zh-CN"/>
              </w:rPr>
              <w:t>他用情况。</w:t>
            </w:r>
          </w:p>
          <w:p>
            <w:pPr>
              <w:snapToGrid w:val="0"/>
              <w:spacing w:line="240" w:lineRule="atLeast"/>
              <w:ind w:firstLine="420" w:firstLineChars="200"/>
              <w:rPr>
                <w:rFonts w:hint="eastAsia" w:ascii="Times New Roman" w:hAnsi="Times New Roman" w:eastAsia="方正仿宋_GBK" w:cs="Times New Roman"/>
                <w:color w:val="auto"/>
                <w:sz w:val="21"/>
                <w:szCs w:val="21"/>
                <w:lang w:eastAsia="zh-CN"/>
              </w:rPr>
            </w:pPr>
            <w:r>
              <w:rPr>
                <w:rFonts w:hint="eastAsia" w:ascii="Times New Roman" w:hAnsi="Times New Roman" w:eastAsia="方正仿宋_GBK" w:cs="Times New Roman"/>
                <w:color w:val="auto"/>
                <w:sz w:val="21"/>
                <w:szCs w:val="21"/>
                <w:lang w:val="en-US" w:eastAsia="zh-CN"/>
              </w:rPr>
              <w:t>建议：进一步加大投入，充分发挥滇红茶博物馆开展滇红茶科普知识宣传教育的核心示范作用，提高公众的参与度，传播好滇红茶文化。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6" w:hRule="atLeast"/>
        </w:trPr>
        <w:tc>
          <w:tcPr>
            <w:tcW w:w="716" w:type="dxa"/>
            <w:vAlign w:val="center"/>
          </w:tcPr>
          <w:p>
            <w:pPr>
              <w:ind w:left="0" w:leftChars="0" w:firstLine="0" w:firstLineChars="0"/>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w:t>
            </w:r>
          </w:p>
        </w:tc>
        <w:tc>
          <w:tcPr>
            <w:tcW w:w="1322" w:type="dxa"/>
            <w:vAlign w:val="center"/>
          </w:tcPr>
          <w:p>
            <w:pPr>
              <w:ind w:firstLine="0" w:firstLineChars="0"/>
              <w:jc w:val="left"/>
              <w:rPr>
                <w:rFonts w:hint="eastAsia" w:ascii="Times New Roman" w:hAnsi="Times New Roman"/>
                <w:color w:val="auto"/>
                <w:sz w:val="21"/>
                <w:szCs w:val="21"/>
              </w:rPr>
            </w:pPr>
            <w:r>
              <w:rPr>
                <w:rFonts w:hint="eastAsia" w:ascii="Times New Roman" w:hAnsi="Times New Roman" w:eastAsia="方正仿宋_GBK" w:cs="Times New Roman"/>
                <w:color w:val="auto"/>
                <w:sz w:val="21"/>
                <w:szCs w:val="21"/>
              </w:rPr>
              <w:t>云南省警官学院</w:t>
            </w:r>
          </w:p>
        </w:tc>
        <w:tc>
          <w:tcPr>
            <w:tcW w:w="2895" w:type="dxa"/>
            <w:vAlign w:val="center"/>
          </w:tcPr>
          <w:p>
            <w:pPr>
              <w:ind w:left="0" w:leftChars="0"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12530000431202384R</w:t>
            </w:r>
          </w:p>
        </w:tc>
        <w:tc>
          <w:tcPr>
            <w:tcW w:w="1470" w:type="dxa"/>
            <w:vAlign w:val="center"/>
          </w:tcPr>
          <w:p>
            <w:pPr>
              <w:ind w:left="0" w:leftChars="0" w:firstLine="0" w:firstLineChars="0"/>
              <w:jc w:val="center"/>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2021.04.26</w:t>
            </w:r>
          </w:p>
        </w:tc>
        <w:tc>
          <w:tcPr>
            <w:tcW w:w="8280" w:type="dxa"/>
            <w:vAlign w:val="top"/>
          </w:tcPr>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依据《云南省科普基地管理办法》对</w:t>
            </w:r>
            <w:r>
              <w:rPr>
                <w:rFonts w:hint="eastAsia" w:ascii="Times New Roman" w:hAnsi="Times New Roman" w:eastAsia="方正仿宋_GBK" w:cs="Times New Roman"/>
                <w:color w:val="auto"/>
                <w:sz w:val="21"/>
                <w:szCs w:val="21"/>
              </w:rPr>
              <w:t>云南省警官学院禁毒防艾科普</w:t>
            </w:r>
            <w:r>
              <w:rPr>
                <w:rFonts w:hint="eastAsia" w:ascii="Times New Roman" w:hAnsi="Times New Roman" w:eastAsia="方正仿宋_GBK" w:cs="Times New Roman"/>
                <w:color w:val="auto"/>
                <w:sz w:val="21"/>
                <w:szCs w:val="21"/>
                <w:lang w:eastAsia="zh-CN"/>
              </w:rPr>
              <w:t>教育</w:t>
            </w:r>
            <w:r>
              <w:rPr>
                <w:rFonts w:hint="eastAsia" w:ascii="Times New Roman" w:hAnsi="Times New Roman" w:eastAsia="方正仿宋_GBK" w:cs="Times New Roman"/>
                <w:color w:val="auto"/>
                <w:sz w:val="21"/>
                <w:szCs w:val="21"/>
              </w:rPr>
              <w:t>基地</w:t>
            </w:r>
            <w:r>
              <w:rPr>
                <w:rFonts w:hint="eastAsia" w:ascii="Times New Roman" w:hAnsi="Times New Roman" w:eastAsia="方正仿宋_GBK" w:cs="Times New Roman"/>
                <w:color w:val="auto"/>
                <w:sz w:val="21"/>
                <w:szCs w:val="21"/>
                <w:lang w:val="en-US" w:eastAsia="zh-CN"/>
              </w:rPr>
              <w:t>实施检查。</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云南警官学院禁毒防艾科普基地创建于2005年，基地主体展馆为室内馆三层和室外馆一个，建筑总面积3000多㎡，总投资300余万元。基地集宣传、教育、交流培训、成果展示于一体，现有干部教师25人（博士6人，硕士19人）。云南警官学院禁毒防艾科普基地展馆自建成以来年均开放270天，年均参观人数约8000人次（2020年受新冠肺炎疫情影响，参观批次和人数分别下降至46批1111人），同时通过积极开展“禁毒防艾进校园、进社区、进农村、进场所、进单位”活动向广大人民群众普及禁毒和艾滋病预防知识。</w:t>
            </w:r>
          </w:p>
          <w:p>
            <w:pPr>
              <w:snapToGrid w:val="0"/>
              <w:spacing w:line="240" w:lineRule="atLeast"/>
              <w:ind w:firstLine="420" w:firstLineChars="200"/>
              <w:rPr>
                <w:rFonts w:hint="eastAsia"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目前，云南警官学院禁毒防艾科普基地管理有序、运行良好，科普基地功能得到充分发挥。</w:t>
            </w:r>
          </w:p>
          <w:p>
            <w:pPr>
              <w:snapToGrid w:val="0"/>
              <w:spacing w:line="240" w:lineRule="atLeast"/>
              <w:ind w:firstLine="420" w:firstLineChars="200"/>
              <w:rPr>
                <w:rFonts w:hint="default" w:ascii="Times New Roman" w:hAnsi="Times New Roman" w:eastAsia="方正仿宋_GBK" w:cs="Times New Roman"/>
                <w:color w:val="auto"/>
                <w:sz w:val="21"/>
                <w:szCs w:val="21"/>
                <w:lang w:val="en-US" w:eastAsia="zh-CN"/>
              </w:rPr>
            </w:pPr>
            <w:r>
              <w:rPr>
                <w:rFonts w:hint="eastAsia" w:ascii="Times New Roman" w:hAnsi="Times New Roman" w:eastAsia="方正仿宋_GBK" w:cs="Times New Roman"/>
                <w:color w:val="auto"/>
                <w:sz w:val="21"/>
                <w:szCs w:val="21"/>
                <w:lang w:val="en-US" w:eastAsia="zh-CN"/>
              </w:rPr>
              <w:t>检查未发现</w:t>
            </w:r>
            <w:r>
              <w:rPr>
                <w:rFonts w:hint="eastAsia" w:ascii="Times New Roman" w:hAnsi="Times New Roman" w:eastAsia="方正仿宋_GBK" w:cs="Times New Roman"/>
                <w:color w:val="auto"/>
                <w:sz w:val="21"/>
                <w:szCs w:val="21"/>
                <w:lang w:eastAsia="zh-CN"/>
              </w:rPr>
              <w:t>故意损坏</w:t>
            </w:r>
            <w:r>
              <w:rPr>
                <w:rFonts w:hint="eastAsia" w:ascii="Times New Roman" w:hAnsi="Times New Roman" w:eastAsia="方正仿宋_GBK" w:cs="Times New Roman"/>
                <w:color w:val="auto"/>
                <w:sz w:val="21"/>
                <w:szCs w:val="21"/>
                <w:lang w:val="en-US" w:eastAsia="zh-CN"/>
              </w:rPr>
              <w:t>科普场所和设施</w:t>
            </w:r>
            <w:r>
              <w:rPr>
                <w:rFonts w:hint="eastAsia" w:ascii="Times New Roman" w:hAnsi="Times New Roman" w:eastAsia="方正仿宋_GBK" w:cs="Times New Roman"/>
                <w:color w:val="auto"/>
                <w:sz w:val="21"/>
                <w:szCs w:val="21"/>
                <w:lang w:eastAsia="zh-CN"/>
              </w:rPr>
              <w:t>，以及</w:t>
            </w:r>
            <w:r>
              <w:rPr>
                <w:rFonts w:hint="eastAsia" w:ascii="Times New Roman" w:hAnsi="Times New Roman" w:eastAsia="方正仿宋_GBK" w:cs="Times New Roman"/>
                <w:color w:val="auto"/>
                <w:sz w:val="21"/>
                <w:szCs w:val="21"/>
                <w:lang w:val="en-US" w:eastAsia="zh-CN"/>
              </w:rPr>
              <w:t>科普场所和设施</w:t>
            </w:r>
            <w:r>
              <w:rPr>
                <w:rFonts w:hint="eastAsia" w:ascii="Times New Roman" w:hAnsi="Times New Roman" w:eastAsia="方正仿宋_GBK" w:cs="Times New Roman"/>
                <w:color w:val="auto"/>
                <w:sz w:val="21"/>
                <w:szCs w:val="21"/>
                <w:lang w:eastAsia="zh-CN"/>
              </w:rPr>
              <w:t>被侵占或</w:t>
            </w:r>
            <w:r>
              <w:rPr>
                <w:rFonts w:hint="eastAsia" w:ascii="Times New Roman" w:hAnsi="Times New Roman" w:eastAsia="方正仿宋_GBK" w:cs="Times New Roman"/>
                <w:color w:val="auto"/>
                <w:sz w:val="21"/>
                <w:szCs w:val="21"/>
                <w:lang w:val="en-US" w:eastAsia="zh-CN"/>
              </w:rPr>
              <w:t>挪作</w:t>
            </w:r>
            <w:r>
              <w:rPr>
                <w:rFonts w:hint="eastAsia" w:ascii="Times New Roman" w:hAnsi="Times New Roman" w:eastAsia="方正仿宋_GBK" w:cs="Times New Roman"/>
                <w:color w:val="auto"/>
                <w:sz w:val="21"/>
                <w:szCs w:val="21"/>
                <w:lang w:eastAsia="zh-CN"/>
              </w:rPr>
              <w:t>他用情况。</w:t>
            </w:r>
          </w:p>
        </w:tc>
      </w:tr>
    </w:tbl>
    <w:p/>
    <w:p>
      <w:pPr>
        <w:rPr>
          <w:rFonts w:hint="eastAsia" w:eastAsia="宋体"/>
          <w:lang w:eastAsia="zh-CN"/>
        </w:rPr>
      </w:pPr>
    </w:p>
    <w:p>
      <w:pPr>
        <w:ind w:firstLine="640"/>
        <w:rPr>
          <w:rFonts w:hint="eastAsia" w:ascii="仿宋_GB2312" w:hAnsi="仿宋_GB2312" w:eastAsia="仿宋_GB2312" w:cs="仿宋_GB2312"/>
          <w:szCs w:val="32"/>
        </w:rPr>
      </w:pPr>
    </w:p>
    <w:p/>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outlineLvl w:val="9"/>
        <w:rPr>
          <w:rFonts w:hint="eastAsia" w:asciiTheme="minorEastAsia" w:hAnsiTheme="minorEastAsia" w:eastAsiaTheme="minorEastAsia" w:cstheme="minor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outlineLvl w:val="9"/>
        <w:rPr>
          <w:rFonts w:hint="eastAsia" w:asciiTheme="minorEastAsia" w:hAnsiTheme="minorEastAsia" w:eastAsiaTheme="minorEastAsia" w:cstheme="minorEastAsia"/>
          <w:sz w:val="28"/>
          <w:szCs w:val="28"/>
        </w:rPr>
      </w:pPr>
    </w:p>
    <w:sectPr>
      <w:footerReference r:id="rId3" w:type="default"/>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仿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楷体_GBK">
    <w:altName w:val="微软雅黑"/>
    <w:panose1 w:val="02000000000000000000"/>
    <w:charset w:val="86"/>
    <w:family w:val="script"/>
    <w:pitch w:val="default"/>
    <w:sig w:usb0="00000001" w:usb1="0800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汉仪旗黑-30简">
    <w:altName w:val="黑体"/>
    <w:panose1 w:val="00020600040101010101"/>
    <w:charset w:val="86"/>
    <w:family w:val="auto"/>
    <w:pitch w:val="default"/>
    <w:sig w:usb0="A00002BF" w:usb1="1ACF7CFA" w:usb2="00000016"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path/>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7F1A62"/>
    <w:rsid w:val="5C353612"/>
    <w:rsid w:val="7F7F1A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4"/>
      <w:szCs w:val="22"/>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840" w:lineRule="atLeast"/>
      <w:ind w:left="0" w:right="0"/>
      <w:jc w:val="center"/>
    </w:pPr>
    <w:rPr>
      <w:rFonts w:hint="eastAsia" w:ascii="微软雅黑" w:hAnsi="微软雅黑" w:eastAsia="微软雅黑" w:cs="微软雅黑"/>
      <w:kern w:val="44"/>
      <w:sz w:val="57"/>
      <w:szCs w:val="57"/>
      <w:lang w:val="en-US" w:eastAsia="zh-CN" w:bidi="ar"/>
    </w:rPr>
  </w:style>
  <w:style w:type="character" w:default="1" w:styleId="6">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ind w:firstLine="200" w:firstLineChars="200"/>
      <w:jc w:val="left"/>
    </w:pPr>
    <w:rPr>
      <w:rFonts w:ascii="Times New Roman" w:hAnsi="Times New Roman" w:eastAsia="方正仿宋简体" w:cs="Times New Roman"/>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ind w:firstLine="200" w:firstLineChars="200"/>
      <w:jc w:val="center"/>
    </w:pPr>
    <w:rPr>
      <w:rFonts w:ascii="Times New Roman" w:hAnsi="Times New Roman" w:eastAsia="方正仿宋简体" w:cs="Times New Roman"/>
      <w:sz w:val="18"/>
      <w:szCs w:val="18"/>
    </w:rPr>
  </w:style>
  <w:style w:type="paragraph" w:styleId="5">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7">
    <w:name w:val="FollowedHyperlink"/>
    <w:basedOn w:val="6"/>
    <w:uiPriority w:val="0"/>
    <w:rPr>
      <w:color w:val="000000"/>
      <w:u w:val="none"/>
    </w:rPr>
  </w:style>
  <w:style w:type="character" w:styleId="8">
    <w:name w:val="HTML Definition"/>
    <w:basedOn w:val="6"/>
    <w:uiPriority w:val="0"/>
  </w:style>
  <w:style w:type="character" w:styleId="9">
    <w:name w:val="HTML Variable"/>
    <w:basedOn w:val="6"/>
    <w:uiPriority w:val="0"/>
  </w:style>
  <w:style w:type="character" w:styleId="10">
    <w:name w:val="Hyperlink"/>
    <w:basedOn w:val="6"/>
    <w:uiPriority w:val="0"/>
    <w:rPr>
      <w:color w:val="000000"/>
      <w:u w:val="none"/>
    </w:rPr>
  </w:style>
  <w:style w:type="character" w:styleId="11">
    <w:name w:val="HTML Code"/>
    <w:basedOn w:val="6"/>
    <w:uiPriority w:val="0"/>
    <w:rPr>
      <w:rFonts w:ascii="Courier New" w:hAnsi="Courier New"/>
      <w:sz w:val="20"/>
    </w:rPr>
  </w:style>
  <w:style w:type="character" w:styleId="12">
    <w:name w:val="HTML Cite"/>
    <w:basedOn w:val="6"/>
    <w:uiPriority w:val="0"/>
  </w:style>
  <w:style w:type="character" w:customStyle="1" w:styleId="14">
    <w:name w:val="laypage_curr"/>
    <w:basedOn w:val="6"/>
    <w:uiPriority w:val="0"/>
    <w:rPr>
      <w:color w:val="FFFDF4"/>
      <w:shd w:val="clear" w:fill="0B67A6"/>
    </w:rPr>
  </w:style>
  <w:style w:type="character" w:customStyle="1" w:styleId="15">
    <w:name w:val="font"/>
    <w:basedOn w:val="6"/>
    <w:uiPriority w:val="0"/>
  </w:style>
  <w:style w:type="character" w:customStyle="1" w:styleId="16">
    <w:name w:val="font1"/>
    <w:basedOn w:val="6"/>
    <w:uiPriority w:val="0"/>
  </w:style>
  <w:style w:type="character" w:customStyle="1" w:styleId="17">
    <w:name w:val="noline"/>
    <w:basedOn w:val="6"/>
    <w:uiPriority w:val="0"/>
  </w:style>
  <w:style w:type="character" w:customStyle="1" w:styleId="18">
    <w:name w:val="place"/>
    <w:basedOn w:val="6"/>
    <w:uiPriority w:val="0"/>
    <w:rPr>
      <w:rFonts w:hint="eastAsia" w:ascii="微软雅黑" w:hAnsi="微软雅黑" w:eastAsia="微软雅黑" w:cs="微软雅黑"/>
      <w:color w:val="888888"/>
      <w:sz w:val="25"/>
      <w:szCs w:val="25"/>
      <w:bdr w:val="none" w:color="auto" w:sz="0" w:space="0"/>
    </w:rPr>
  </w:style>
  <w:style w:type="character" w:customStyle="1" w:styleId="19">
    <w:name w:val="place1"/>
    <w:basedOn w:val="6"/>
    <w:uiPriority w:val="0"/>
    <w:rPr>
      <w:bdr w:val="none" w:color="auto" w:sz="0" w:space="0"/>
    </w:rPr>
  </w:style>
  <w:style w:type="character" w:customStyle="1" w:styleId="20">
    <w:name w:val="place2"/>
    <w:basedOn w:val="6"/>
    <w:uiPriority w:val="0"/>
    <w:rPr>
      <w:bdr w:val="none" w:color="auto" w:sz="0" w:space="0"/>
    </w:rPr>
  </w:style>
  <w:style w:type="character" w:customStyle="1" w:styleId="21">
    <w:name w:val="place3"/>
    <w:basedOn w:val="6"/>
    <w:uiPriority w:val="0"/>
    <w:rPr>
      <w:bdr w:val="none" w:color="auto" w:sz="0" w:space="0"/>
    </w:rPr>
  </w:style>
  <w:style w:type="character" w:customStyle="1" w:styleId="22">
    <w:name w:val="hover15"/>
    <w:basedOn w:val="6"/>
    <w:uiPriority w:val="0"/>
    <w:rPr>
      <w:color w:val="025291"/>
    </w:rPr>
  </w:style>
  <w:style w:type="character" w:customStyle="1" w:styleId="23">
    <w:name w:val="hover13"/>
    <w:basedOn w:val="6"/>
    <w:uiPriority w:val="0"/>
    <w:rPr>
      <w:color w:val="02529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云南省科学技术厅</Company>
  <Pages>1</Pages>
  <Words>0</Words>
  <Characters>0</Characters>
  <Lines>0</Lines>
  <Paragraphs>0</Paragraphs>
  <TotalTime>190</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2021-09-14T02:24:00Z</dcterms:created>
  <dc:creator>刘薇</dc:creator>
  <cp:lastModifiedBy>刘薇</cp:lastModifiedBy>
  <dcterms:modified xsi:type="dcterms:W3CDTF">2021-09-14T07:30:15Z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